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numId w:val="0"/>
        </w:numPr>
        <w:suppressLineNumbers w:val="0"/>
        <w:jc w:val="left"/>
        <w:outlineLvl w:val="1"/>
        <w:rPr>
          <w:rFonts w:hint="eastAsia" w:asciiTheme="majorEastAsia" w:hAnsiTheme="majorEastAsia" w:eastAsiaTheme="majorEastAsia" w:cstheme="majorEastAsia"/>
          <w:b/>
          <w:bCs/>
          <w:color w:val="auto"/>
          <w:kern w:val="2"/>
          <w:sz w:val="32"/>
          <w:szCs w:val="32"/>
          <w:lang w:val="en-US" w:eastAsia="zh-CN" w:bidi="ar-SA"/>
        </w:rPr>
      </w:pPr>
      <w:bookmarkStart w:id="0" w:name="_Toc4175"/>
      <w:bookmarkStart w:id="1" w:name="_Toc485813459"/>
      <w:r>
        <w:rPr>
          <w:rFonts w:hint="eastAsia" w:asciiTheme="majorEastAsia" w:hAnsiTheme="majorEastAsia" w:eastAsiaTheme="majorEastAsia" w:cstheme="majorEastAsia"/>
          <w:b/>
          <w:bCs/>
          <w:color w:val="auto"/>
          <w:kern w:val="2"/>
          <w:sz w:val="32"/>
          <w:szCs w:val="32"/>
          <w:lang w:val="en-US" w:eastAsia="zh-CN" w:bidi="ar-SA"/>
        </w:rPr>
        <w:t>《浙江知识产权交易中心专利开放许可交易规则（试行）》</w:t>
      </w:r>
      <w:bookmarkEnd w:id="0"/>
    </w:p>
    <w:p>
      <w:pPr>
        <w:spacing w:line="55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第一章  总</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则</w:t>
      </w:r>
    </w:p>
    <w:p>
      <w:pPr>
        <w:spacing w:line="55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第一条 为规范在浙江知识产权交易中心（以下简称“本中心”）进行的专利开放许可行为，促进知识产权的运用转化为，保障交易各方的合法权益，维护本中心交易秩序，形成公开、公平、公正、开放、高效的知识产权运用转化市场氛围,根据《中华人民共和国专利法》、《浙江省专利开放许可试点工作实施方案》以及《浙江知识产权交易中心交易规则》相关规定，特制定本交易规则。</w:t>
      </w:r>
    </w:p>
    <w:p>
      <w:pPr>
        <w:spacing w:line="55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第二条 本规则仅适用于浙江省专利开放许可工作试点期间，即本规则发布之日起至专利开放许可制度全面实施时。</w:t>
      </w:r>
    </w:p>
    <w:p>
      <w:pPr>
        <w:spacing w:line="55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第三条 本规则所称专利开放许可，是指本中心在浙江省市场监督管理局（知识产权局）的授权下，参照开放许可的理念和方式，促进专利“一对多”快速许可的模式，有别于由国务院专利行政部门接收并公布声明的法定开放许可。即专利权人以书面方式向本中心声明愿意许可任何单位和个人实施其专利，并明确许可使用费支付方式、标准的，由本中心予以公告，潜在被许可方一旦接受上述要约，签订许可合同并支付相应费用，即可实施该专利技术的许可行为。</w:t>
      </w:r>
    </w:p>
    <w:p>
      <w:pPr>
        <w:spacing w:line="55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第四条 从事专利许可活动应当遵守国家相关法律、行政法规和部门规章的规定。专利开放许可应遵循诚信、择优、高效的原则，不得侵犯他人的合法权益和损害社会公共利益。</w:t>
      </w:r>
    </w:p>
    <w:p>
      <w:pPr>
        <w:spacing w:line="55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第二章 交易范围(品种)</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第五条 本规则所指交易范围仅为在国务院专利行政部门授权且有效专利的许可权，包括以下部分：</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1.发明专利的许可权；</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2.实用新型专利的许可权； </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3.外观设计专利的许可权；</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4.其它法律法规允许的范围。</w:t>
      </w:r>
    </w:p>
    <w:p>
      <w:pPr>
        <w:spacing w:line="55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第三章 会  员</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第六条 本规则所指会员是指经本中心认可的，为本中心提供专业服务或参与特定业务的，具有丰富的专业能力和从业经验的法人、组织或自然人。包括但不限于：专利代理机构、经纪运营机构、资产评估机构、会计或税务服务机构、法律服务机构、专业咨询机构、拍卖机构、投资机构（人）等。</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第七条 会员的管理按照《浙江知识产权交易中心会员管理办法》执行。</w:t>
      </w:r>
    </w:p>
    <w:p>
      <w:pPr>
        <w:spacing w:line="55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第四章 交易主体</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第八条 本规则所称交易主体是指在本中心进行专利开放许可的许可方和被许可方。</w:t>
      </w:r>
    </w:p>
    <w:p>
      <w:pPr>
        <w:spacing w:line="55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第一节 许可方</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第九条 许可方是指依法拥有专利权或依法对该专利权的相关权利享有法定或者约定处置权的自然人、法人或其它组织，其所许可的专利及其相关权利的权属关系明确，不存在法律上的瑕疵或者正在发生的法律纠纷。</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第十条 许可方应当具有完全的民事权利能力和行为能力，能独立承担民事责任，在行业内无不良信用记录。</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第十一条 许可方的权利与义务：</w:t>
      </w:r>
    </w:p>
    <w:p>
      <w:pPr>
        <w:spacing w:line="55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1.许可方拟许可的专利应真实、完整、合法、有效，不存在权力质押、独占许可、排他许可、涉及法律诉讼等瑕疵或者纠纷。提交给本中心的开放许可信息或者文件不存在隐瞒真相或者虚构事实的虚假记载或陈述，没有误导性的陈述或重大遗漏；</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2.许可方不得采取不正当手段，影响交易的公正性；</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3.许可方不得与他人串通或者排挤其他人，影响公平竞争，损害他人利益；</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4.许可合同签订后，转让方应当依法并按照约定及时、全面地履行许可合同，并协助被许可方（或受托会员）进行许可备案及其与此相关的其它必要或者约定的各项后续服务工作；</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5.许可方对在交易过程中所知悉的本中心、被许可方或者会员的商业秘密承担保密义务。除非上述商业秘密被持有人或者善意第三人公开，许可方的上述保密义务不受期限限制。</w:t>
      </w:r>
    </w:p>
    <w:p>
      <w:pPr>
        <w:spacing w:line="550" w:lineRule="exact"/>
        <w:ind w:firstLine="560" w:firstLineChars="20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第二节 被许可方</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第十二条 被许可方是指在本中心注册，经本中心确认在交易活动中具有许可申请权，具有民事权利和民事行为能力，能独立承担民事责任，且符合专利被许可条件，并经办理交易程序等必要手续的法人、自然人或其他组织。　　</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第十三条 被许可方应当了解专利开放许可常识，具有知识产权交易的风险识别能力和承受能力。</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第十四条 被许可方应具有良好的信用。</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第十五条 被许可方权利与义务：</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1.被许可方有权了解开放许可专利的相关信息；</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2.被许可方不得采取不正当手段，影响交易的公正性；</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3.被许可方不得与他人串通或者排挤其他人，影响公平竞争，损害他人利益；</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4.许可合同签订后，被许可方应当依法并按照约定及时、全面地履行许可合同；</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5.对在交易过程中所知悉的本中心、许可方或者会员的商业秘密承担保密义务。除非上述商业秘密被持有人或者善意第三人公开，被许可方的上述保密义务不受期限限制。</w:t>
      </w:r>
    </w:p>
    <w:p>
      <w:pPr>
        <w:spacing w:line="55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第五章 许可程序</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第十六条 试点期间，许可方和被许可方可直接委托本中心进行交易，也可以委托本中心经纪会员代理进行交易。</w:t>
      </w:r>
    </w:p>
    <w:p>
      <w:pPr>
        <w:spacing w:line="55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第一节  受理申请</w:t>
      </w:r>
    </w:p>
    <w:p>
      <w:pPr>
        <w:pStyle w:val="6"/>
        <w:spacing w:line="560" w:lineRule="exact"/>
        <w:ind w:firstLine="60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第十七条 专利许可方应具备专利许可的主体资格，保证拟许可的专利依法可以实施许可，并履行必要的决策审批程序。具有多个权力人的，应经全体专利权人一致同意。</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第十八条 许可方委托本中心经纪会员代理进行交易的，应与经纪会员签订委托合同。经纪会员应按合同约定提供相关服务。</w:t>
      </w:r>
    </w:p>
    <w:p>
      <w:pPr>
        <w:spacing w:line="550" w:lineRule="exact"/>
        <w:ind w:firstLine="565" w:firstLineChars="202"/>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第十九条 许可方应自行或委托经纪会员向本中心提交下列材料：</w:t>
      </w:r>
    </w:p>
    <w:p>
      <w:pPr>
        <w:spacing w:line="550" w:lineRule="exact"/>
        <w:ind w:left="420" w:left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（一）《专利开放许可申请书》；</w:t>
      </w:r>
    </w:p>
    <w:p>
      <w:pPr>
        <w:spacing w:line="550" w:lineRule="exact"/>
        <w:ind w:left="420" w:left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（二）《专利开放许可申请书》的附件清单内容；</w:t>
      </w:r>
    </w:p>
    <w:p>
      <w:pPr>
        <w:spacing w:line="550" w:lineRule="exact"/>
        <w:ind w:left="420" w:left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（三）《专利评价报告》或《专利检索分析报告》（若有）；</w:t>
      </w:r>
    </w:p>
    <w:p>
      <w:pPr>
        <w:spacing w:line="550" w:lineRule="exact"/>
        <w:ind w:left="420" w:left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（三）《浙江省专利许可信息表（专利开放许可试点专用）》；</w:t>
      </w:r>
    </w:p>
    <w:p>
      <w:pPr>
        <w:spacing w:line="550" w:lineRule="exact"/>
        <w:ind w:left="420" w:left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（四）本中心要求提交的其他文件。</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二十条《专利开放许可申请书》的内容包括但不限于披露开放许可专利的基本情况、许可声明届满日、单次许可期限、费用支付方式和标准、许可受让条件、对许可行为有重大影响的相关信息，以及保证金的设置等内容。</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第二十一条 许可方应对所提交材料的真实性、完整性、有效性负责。许可方委托经纪会员代理进行交易的，受托经纪会员应对转让方提交材料的真实性、完整性、有效性、合规性进行核实。</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第二十二条 专利开放许可采取公开交易方式进行。</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公开交易方式是指以项目挂牌方式公开征集意向被许可方并最终确定被许可方的交易形式。项目挂牌是指本中心依据许可方的申请，将开放许可信息在浙江知识产权在线、浙江知识产权交易中心网站公开征集意向被许可方，并确定许可方的交易方式。</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中心仅接受对专利开放许可数量的限定条件，不接受对被许可方数量的限定条件。对于具有许可数量限制的专利开放许可项目，应将浙江知识产权交易中心平台作为公开征集意向被许可方的唯一平台，并明确公开征集期限，以及超出限定数量时的确定机制。确定机制可以选择先到先得、摇号抽签、竞价拍卖等方式中的一种。在本中心发行的限量开放许可权可以在本中心平台以不拆细、非连续的产权交易方式进行转让，具体另行规定。</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第二十三条 许可方可以根据开放许可专利的实际情况，合理设置受让条件，受让条件内容及其变更应获得本中心书面同意。</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第二十四条 许可方在提出许可申请时可以设置保证金条款，明确保证金的交纳金额、交纳时点、交纳方式、保证事项和处置方法等内容。</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第二十五条 本中心对许可方提交的材料进行齐全性及合规性审查，审查通过的，本中心向许可方或其受托经纪会员发出通知，并发布专利开放许可信息公告；审查未通过的，本中心将审查意见告知许可方或受托经纪会员。</w:t>
      </w:r>
    </w:p>
    <w:p>
      <w:pPr>
        <w:spacing w:line="55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第二节 发布信息</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第二十六条 专利开放许可信息公开内容应包括专利号、专利权人名称、专利名称、许可声明届满日、单次许可期限、许可使用费支付方式和标准、联系人和联系方式等。如收到专利相关信息变更通知，应当及时予以公告或撤回。</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第二十七条 专科开放许可的许可方应当明确信息发布的期限。首次信息发布的期限一般不少于5个工作日，国有知识产权不得少于15天。信息发布的期限累计不超过12个月。发布期限自浙江知识产权交易中心网站发布之日起计算。</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第二十八条 许可方不得在信息发布期间擅自变更专利开放许可信息中公布的内容和条件。如特殊原因确需变更的，经许可方重新申请后，在原信息发布渠道重新予以披露，信息发布期限重新计算。</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第二十九条 许可方不得在信息发布期间擅自取消所发布信息，否则应负责赔偿给相关各方造成的损失。</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第三十条 专利开放许可信息发布期间，意向被许可方或其受托经纪会员可以查阅开放许可专利的相关资料。许可方及受托经纪会员应接受意向受让方的查询洽谈。</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第三十一条 信息发布期限内，在不变更信息发布内容的情况下，许可方可以申请延长信息发布期限，每次延长期限不少于5个工作日；信息发布期限结束后，且许可方未明确延长信息发布期限的，本次信息发布活动自行终结。</w:t>
      </w:r>
    </w:p>
    <w:p>
      <w:pPr>
        <w:numPr>
          <w:ilvl w:val="0"/>
          <w:numId w:val="1"/>
        </w:numPr>
        <w:spacing w:line="55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登记意向</w:t>
      </w:r>
    </w:p>
    <w:p>
      <w:pPr>
        <w:spacing w:line="550" w:lineRule="exact"/>
        <w:ind w:firstLine="560" w:firstLineChars="20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rPr>
        <w:t>第三十二条 专利开放许可试点期间本中心仅接受境内法人、自然人或其他组织的许可意向申请。</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第三十三条 意向被许可方可以在信息发布期间办理查询手续后，查阅与开放许可专利有关的各项文件与资料，并对所知悉的信息承担保密义务。</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第三十四条 意向被许可方委托本中心经纪会员代理进行交易的，应与经纪会员签订委托合同。经纪会员应按合同约定提供相关服务。</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第三十五条 在信息发布期间，意向被许可方应自行或委托经纪会员向本中心提交以下材料：</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（一）《许可申请登记文件》；</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（二）主体资格证明或自然人身份证明；</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（三）符合被许可资格条件的证明文件（若需要）；</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（四）本中心要求提交的其他文件。</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第三十六条 专利开放许可试点期间，本中心暂不受理多个主体组成联合体申请专利许可的行为。</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第三十七条 意向被许可方应对提交材料的真实性、完整性、有效性负责。意向被许可方委托经纪会员代理进行交易的，受托经纪会员应对意向被许可方提交材料的真实性、完整性、有效性、合规性进行核实。</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第三十八条 本中心对提交《许可申请登记文件》及材料的意向被许可方进行逐一登记。</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第三十九条 本中心在信息发布次日起的工作日内，根据意向申请接收的先后顺序，在5个工作日内对每个意向申请材料进行合规性审查。经审查符合条件的意向被许可方登记为合格被许可方；经审查不符条件的意向被许可方，本中心将予以告知。</w:t>
      </w:r>
    </w:p>
    <w:p>
      <w:pPr>
        <w:spacing w:line="55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第四节 许可确认</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第四十条 本中心按照以下方式确认许可交易。</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对于未设置许可数量限制的专利开放许可项目，经本中心形式审查符合条件的意向被许可方自动成为被许可方，许可方与被许可方应按照本中心制定的格式化《专利开放许可合同》签订许可合同，许可行为按照合同约定时间生效。</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对于已经设置许可数量的专利开放许可项目，在意向征集期限结束后，经本中心审查登记为合格意向被许可方的数量大于许可数量的，根据《专利开放许可申请书》中的约定方式确定最终的被许可方后，许可方与被许可方应按照本中心制定的格式化《专利开放许可合同》签订许可合同，许可行为按照合同约定时间生效。</w:t>
      </w:r>
    </w:p>
    <w:p>
      <w:pPr>
        <w:spacing w:line="55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第六章 资金结算</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第四十一条 专利开放许可应通过本中心进行交易资金的结算。</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第四十二条 专利开放许交易资金包括交易保证金和交易价款，以人民币为结算货币。</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第四十三条 被许可方应在约定的期限内，将交易价款支付到本中心结算账户。被许可方已交纳的保证金可根据约定转为交易价款。</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第四十四条 交易双方应按照本中心的收费标准支付交易佣金及手续费。</w:t>
      </w:r>
    </w:p>
    <w:p>
      <w:pPr>
        <w:spacing w:line="55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第七章 交易凭证</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第四十五条 本中心对专利开放许可材料进行形式审查，经审查合格且本中心收到被许可方支付的交易价款（或首付款）及许可双方支付的全部交易服务费用5个工作日内，向许可双方出具知识产权交易凭证。有关协议另有约定的除外。</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第四十六条 交易双方凭知识产权交易凭证等相关材料，按照国家有关规定及时到相关部门办理备案登记手续。</w:t>
      </w:r>
    </w:p>
    <w:p>
      <w:pPr>
        <w:spacing w:line="55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第八章 其他规定</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第四十七条 专利开放许可的中止、终结操作，按照《浙江知识产权交易中心专利开放许可中止和终结管理办法（试行）》执行。</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第四十八条 专利开放许可双方及其他相关主体在交易过程中发生争议时，当事人可以向本中心申请调解，具体按照《浙江知识产权交易中心专利开放许可争议调解管理办法（试行）》执行。本中心可以根据争议情况中止交易。争议各方经协商或者调解达成一致意见后，可以申请恢复交易；协商或者调解无效，致使交易无法继续进行的，本中心可以终结交易。</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第四十九条 交易争议经协商或者调解未能解决的，当事人可以向仲裁机构申请仲裁或向人民法院提起诉讼。</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第五十条 专利开放许可过程中禁止下列行为：</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（一）扰乱交易秩序的；</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（二）以权属不清、权属有瑕疵或者存在权属纠纷的专利进行开放许可的；</w:t>
      </w:r>
    </w:p>
    <w:p>
      <w:pPr>
        <w:spacing w:line="55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（三）采取欺诈、胁迫、隐瞒信息、恶意串通等手段，妨碍公平交易的；</w:t>
      </w:r>
    </w:p>
    <w:p>
      <w:pPr>
        <w:spacing w:line="55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（四）许可方提供虚假资料、隐瞒重大事项的；</w:t>
      </w:r>
    </w:p>
    <w:p>
      <w:pPr>
        <w:spacing w:line="55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五）意向被许可方在参与开放许可的过程中存在违反规定或约定，弄虚作假，恶意串通，对许可方、本中心工作人员或其他相关人员施加影响，在竞价拍卖过程中，恶意串通压低价格，扰乱竞价交易活动正常秩序，影响竞价活动公正性的；</w:t>
      </w:r>
    </w:p>
    <w:p>
      <w:pPr>
        <w:spacing w:line="55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（六）经纪会员在开放许可中弄虚作假或者玩忽职守，损害国家利益或者开放许可双方合法权益的；</w:t>
      </w:r>
    </w:p>
    <w:p>
      <w:pPr>
        <w:spacing w:line="55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（七）开放许可双方违反本交易规则自行交易的；</w:t>
      </w:r>
    </w:p>
    <w:p>
      <w:pPr>
        <w:spacing w:line="55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（八）法律法规及本中心禁止的其他行为。</w:t>
      </w:r>
    </w:p>
    <w:p>
      <w:pPr>
        <w:spacing w:line="55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开放许可各方及经纪会员违反规定出现上述禁止行为的，除依照本中心相关规定接受处罚外，给相关权益人造成损失的，应负责赔偿。</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第五十一条 本中心依据本交易规则进行的各项审查均为合规性形式审查，不承担包括但不限于保证主体资格适格、权限完整、标的无瑕疵、开放许可双方做出的声明及承诺以及提供的文件资料真实准确等一切责任。开放许可双方自行承担交易风险。</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第五十二条 专利开放许可的相关材料由本中心存档。</w:t>
      </w:r>
    </w:p>
    <w:p>
      <w:pPr>
        <w:spacing w:line="55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第九章 附</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则</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第五十三条 国家法律、法规及政府相关部门对专利开放许可有特别规定的，从其规定。</w:t>
      </w:r>
    </w:p>
    <w:p>
      <w:pPr>
        <w:spacing w:line="55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第五十四条 本交易规则的解释权和修订权属于浙江知识产权交易中心，接受浙江省市场监督管理局（知识产权局）、浙江省地方金融监督管理局指导和监督。</w:t>
      </w:r>
    </w:p>
    <w:p>
      <w:pPr>
        <w:spacing w:line="550" w:lineRule="exact"/>
        <w:ind w:firstLine="560" w:firstLineChars="200"/>
        <w:rPr>
          <w:rFonts w:hint="default"/>
          <w:lang w:val="en-US" w:eastAsia="zh-CN"/>
        </w:rPr>
      </w:pPr>
      <w:r>
        <w:rPr>
          <w:rFonts w:hint="eastAsia" w:asciiTheme="minorEastAsia" w:hAnsiTheme="minorEastAsia" w:eastAsiaTheme="minorEastAsia" w:cstheme="minorEastAsia"/>
          <w:color w:val="auto"/>
          <w:sz w:val="28"/>
          <w:szCs w:val="28"/>
        </w:rPr>
        <w:t>第五十五条 本交易规则自发布之日起施行</w:t>
      </w:r>
      <w:bookmarkEnd w:id="1"/>
      <w:bookmarkStart w:id="2" w:name="_GoBack"/>
      <w:bookmarkEnd w:id="2"/>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6078220</wp:posOffset>
              </wp:positionH>
              <wp:positionV relativeFrom="page">
                <wp:posOffset>9843770</wp:posOffset>
              </wp:positionV>
              <wp:extent cx="558165" cy="20383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558165" cy="203835"/>
                      </a:xfrm>
                      <a:prstGeom prst="rect">
                        <a:avLst/>
                      </a:prstGeom>
                      <a:noFill/>
                      <a:ln>
                        <a:noFill/>
                      </a:ln>
                    </wps:spPr>
                    <wps:txbx>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11</w:t>
                          </w:r>
                          <w:r>
                            <w:fldChar w:fldCharType="end"/>
                          </w:r>
                          <w:r>
                            <w:rPr>
                              <w:rFonts w:ascii="宋体"/>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478.6pt;margin-top:775.1pt;height:16.05pt;width:43.95pt;mso-position-horizontal-relative:page;mso-position-vertical-relative:page;z-index:-251656192;mso-width-relative:page;mso-height-relative:page;" filled="f" stroked="f" coordsize="21600,21600" o:gfxdata="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ni+Bx2wAAAA4BAAAPAAAAAAAAAAEAIAAAACIAAABkcnMvZG93bnJldi54bWxQ&#10;SwECFAAUAAAACACHTuJAZxBlqLsBAABzAwAADgAAAAAAAAABACAAAAAqAQAAZHJzL2Uyb0RvYy54&#10;bWxQSwUGAAAAAAYABgBZAQAAVwUAAAAA&#10;">
              <v:fill on="f" focussize="0,0"/>
              <v:stroke on="f"/>
              <v:imagedata o:title=""/>
              <o:lock v:ext="edit" aspectratio="f"/>
              <v:textbox inset="0mm,0mm,0mm,0mm">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11</w:t>
                    </w:r>
                    <w:r>
                      <w:fldChar w:fldCharType="end"/>
                    </w:r>
                    <w:r>
                      <w:rPr>
                        <w:rFonts w:ascii="宋体"/>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684530</wp:posOffset>
              </wp:positionH>
              <wp:positionV relativeFrom="page">
                <wp:posOffset>1019810</wp:posOffset>
              </wp:positionV>
              <wp:extent cx="6172200" cy="0"/>
              <wp:effectExtent l="0" t="0" r="0" b="0"/>
              <wp:wrapNone/>
              <wp:docPr id="24" name="Shape 3"/>
              <wp:cNvGraphicFramePr/>
              <a:graphic xmlns:a="http://schemas.openxmlformats.org/drawingml/2006/main">
                <a:graphicData uri="http://schemas.microsoft.com/office/word/2010/wordprocessingShape">
                  <wps:wsp>
                    <wps:cNvCnPr/>
                    <wps:spPr>
                      <a:xfrm>
                        <a:off x="0" y="0"/>
                        <a:ext cx="6172200" cy="0"/>
                      </a:xfrm>
                      <a:prstGeom prst="straightConnector1">
                        <a:avLst/>
                      </a:prstGeom>
                      <a:ln w="12700">
                        <a:solidFill>
                          <a:srgbClr val="FFFFFF"/>
                        </a:solidFill>
                      </a:ln>
                    </wps:spPr>
                    <wps:bodyPr/>
                  </wps:wsp>
                </a:graphicData>
              </a:graphic>
            </wp:anchor>
          </w:drawing>
        </mc:Choice>
        <mc:Fallback>
          <w:pict>
            <v:shape id="Shape 3" o:spid="_x0000_s1026" o:spt="32" type="#_x0000_t32" style="position:absolute;left:0pt;margin-left:53.9pt;margin-top:80.3pt;height:0pt;width:486pt;mso-position-horizontal-relative:page;mso-position-vertical-relative:page;z-index:-251657216;mso-width-relative:page;mso-height-relative:page;" filled="f" stroked="t" coordsize="21600,21600" o:gfxdata="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Ky1EM3WAAAADAEAAA8AAAAA&#10;AAAAAQAgAAAAIgAAAGRycy9kb3ducmV2LnhtbFBLAQIUABQAAAAIAIdO4kD8uKjfpAEAAFsDAAAO&#10;AAAAAAAAAAEAIAAAACUBAABkcnMvZTJvRG9jLnhtbFBLBQYAAAAABgAGAFkBAAA7BQAAAAA=&#10;">
              <v:fill on="f" focussize="0,0"/>
              <v:stroke weight="1pt" color="#FFFFFF"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21AE55"/>
    <w:multiLevelType w:val="singleLevel"/>
    <w:tmpl w:val="7721AE55"/>
    <w:lvl w:ilvl="0" w:tentative="0">
      <w:start w:val="3"/>
      <w:numFmt w:val="chineseCounting"/>
      <w:suff w:val="space"/>
      <w:lvlText w:val="第%1节"/>
      <w:lvlJc w:val="left"/>
      <w:pPr>
        <w:ind w:left="105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NGZmM2FiNzI3YzlkYTJlZDg3MjZlMTdlZDA5NzEifQ=="/>
  </w:docVars>
  <w:rsids>
    <w:rsidRoot w:val="552A7EF4"/>
    <w:rsid w:val="01531F3C"/>
    <w:rsid w:val="050E49D9"/>
    <w:rsid w:val="08CB1FF4"/>
    <w:rsid w:val="0D0429D6"/>
    <w:rsid w:val="0F253BEA"/>
    <w:rsid w:val="12B72298"/>
    <w:rsid w:val="13E40E6B"/>
    <w:rsid w:val="152504C4"/>
    <w:rsid w:val="15A70E5F"/>
    <w:rsid w:val="15F555B1"/>
    <w:rsid w:val="1613570C"/>
    <w:rsid w:val="164D719B"/>
    <w:rsid w:val="16750599"/>
    <w:rsid w:val="18AD2173"/>
    <w:rsid w:val="1F3E1D77"/>
    <w:rsid w:val="25C56DD4"/>
    <w:rsid w:val="2A484DDD"/>
    <w:rsid w:val="310729A0"/>
    <w:rsid w:val="32A309C4"/>
    <w:rsid w:val="37B37D1F"/>
    <w:rsid w:val="3D1D0DC6"/>
    <w:rsid w:val="3FE24BE3"/>
    <w:rsid w:val="40794306"/>
    <w:rsid w:val="40A37F4A"/>
    <w:rsid w:val="437C29A9"/>
    <w:rsid w:val="43DE40D9"/>
    <w:rsid w:val="4BBB2DA3"/>
    <w:rsid w:val="4E27305C"/>
    <w:rsid w:val="4E795316"/>
    <w:rsid w:val="54355C8F"/>
    <w:rsid w:val="552A7EF4"/>
    <w:rsid w:val="57C275DF"/>
    <w:rsid w:val="58EF4EB5"/>
    <w:rsid w:val="599E2E37"/>
    <w:rsid w:val="5BB10BFF"/>
    <w:rsid w:val="5C931E6F"/>
    <w:rsid w:val="66384FD9"/>
    <w:rsid w:val="69D829F6"/>
    <w:rsid w:val="6B6A32AC"/>
    <w:rsid w:val="7776489E"/>
    <w:rsid w:val="7D6F395B"/>
    <w:rsid w:val="7D9F5593"/>
    <w:rsid w:val="7E3C6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caption"/>
    <w:basedOn w:val="1"/>
    <w:next w:val="1"/>
    <w:semiHidden/>
    <w:unhideWhenUsed/>
    <w:qFormat/>
    <w:uiPriority w:val="0"/>
    <w:rPr>
      <w:rFonts w:ascii="Arial" w:hAnsi="Arial" w:eastAsia="黑体"/>
      <w:sz w:val="20"/>
    </w:rPr>
  </w:style>
  <w:style w:type="paragraph" w:styleId="5">
    <w:name w:val="Body Text"/>
    <w:basedOn w:val="1"/>
    <w:qFormat/>
    <w:uiPriority w:val="1"/>
    <w:rPr>
      <w:rFonts w:ascii="宋体" w:hAnsi="宋体" w:eastAsia="宋体" w:cs="宋体"/>
      <w:sz w:val="32"/>
      <w:szCs w:val="32"/>
      <w:lang w:val="zh-CN" w:eastAsia="zh-CN" w:bidi="zh-CN"/>
    </w:rPr>
  </w:style>
  <w:style w:type="paragraph" w:styleId="6">
    <w:name w:val="Body Text Indent"/>
    <w:basedOn w:val="1"/>
    <w:qFormat/>
    <w:uiPriority w:val="0"/>
    <w:pPr>
      <w:ind w:firstLine="690"/>
    </w:pPr>
    <w:rPr>
      <w:rFonts w:ascii="黑体" w:hAnsi="Times New Roman" w:eastAsia="黑体"/>
      <w:spacing w:val="10"/>
      <w:kern w:val="0"/>
      <w:sz w:val="30"/>
      <w:szCs w:val="20"/>
    </w:rPr>
  </w:style>
  <w:style w:type="paragraph" w:styleId="7">
    <w:name w:val="Body Text Indent 2"/>
    <w:basedOn w:val="1"/>
    <w:qFormat/>
    <w:uiPriority w:val="0"/>
    <w:pPr>
      <w:spacing w:after="120" w:line="480" w:lineRule="auto"/>
      <w:ind w:left="420" w:leftChars="200"/>
    </w:p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character" w:styleId="16">
    <w:name w:val="page number"/>
    <w:basedOn w:val="14"/>
    <w:qFormat/>
    <w:uiPriority w:val="0"/>
  </w:style>
  <w:style w:type="character" w:styleId="17">
    <w:name w:val="Hyperlink"/>
    <w:basedOn w:val="14"/>
    <w:qFormat/>
    <w:uiPriority w:val="0"/>
    <w:rPr>
      <w:color w:val="0000FF"/>
      <w:u w:val="single"/>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0">
    <w:name w:val="WPSOffice手动目录 2"/>
    <w:qFormat/>
    <w:uiPriority w:val="0"/>
    <w:pPr>
      <w:ind w:leftChars="200"/>
    </w:pPr>
    <w:rPr>
      <w:rFonts w:ascii="Times New Roman" w:hAnsi="Times New Roman" w:eastAsia="宋体" w:cs="Times New Roman"/>
      <w:sz w:val="20"/>
      <w:szCs w:val="20"/>
    </w:rPr>
  </w:style>
  <w:style w:type="paragraph" w:customStyle="1" w:styleId="21">
    <w:name w:val="Table Paragraph"/>
    <w:basedOn w:val="1"/>
    <w:qFormat/>
    <w:uiPriority w:val="1"/>
    <w:rPr>
      <w:rFonts w:ascii="宋体" w:hAnsi="宋体" w:eastAsia="宋体" w:cs="宋体"/>
      <w:lang w:val="zh-CN" w:eastAsia="zh-CN" w:bidi="zh-CN"/>
    </w:rPr>
  </w:style>
  <w:style w:type="paragraph" w:customStyle="1" w:styleId="22">
    <w:name w:val="样式 标题 1 + 首行缩进:  2 字符"/>
    <w:basedOn w:val="2"/>
    <w:next w:val="1"/>
    <w:qFormat/>
    <w:uiPriority w:val="0"/>
    <w:pPr>
      <w:keepNext w:val="0"/>
      <w:keepLines w:val="0"/>
      <w:spacing w:before="60" w:after="60" w:line="240" w:lineRule="auto"/>
      <w:jc w:val="center"/>
      <w:outlineLvl w:val="9"/>
    </w:pPr>
    <w:rPr>
      <w:rFonts w:ascii="仿宋_GB2312" w:eastAsia="仿宋_GB2312"/>
      <w:b w:val="0"/>
      <w:bCs w:val="0"/>
      <w:kern w:val="2"/>
      <w:sz w:val="24"/>
      <w:szCs w:val="20"/>
    </w:rPr>
  </w:style>
  <w:style w:type="paragraph" w:styleId="23">
    <w:name w:val="List Paragraph"/>
    <w:basedOn w:val="1"/>
    <w:qFormat/>
    <w:uiPriority w:val="1"/>
    <w:pPr>
      <w:ind w:left="1269" w:hanging="240"/>
    </w:pPr>
    <w:rPr>
      <w:rFonts w:ascii="宋体" w:hAnsi="宋体" w:eastAsia="宋体" w:cs="宋体"/>
      <w:lang w:val="zh-CN" w:eastAsia="zh-CN" w:bidi="zh-CN"/>
    </w:rPr>
  </w:style>
  <w:style w:type="paragraph" w:customStyle="1" w:styleId="24">
    <w:name w:val="Heading #1|1"/>
    <w:basedOn w:val="1"/>
    <w:qFormat/>
    <w:uiPriority w:val="0"/>
    <w:pPr>
      <w:widowControl w:val="0"/>
      <w:shd w:val="clear" w:color="auto" w:fill="auto"/>
      <w:spacing w:before="1920" w:after="260" w:line="1008" w:lineRule="exact"/>
      <w:jc w:val="center"/>
      <w:outlineLvl w:val="0"/>
    </w:pPr>
    <w:rPr>
      <w:rFonts w:ascii="宋体" w:hAnsi="宋体" w:eastAsia="宋体" w:cs="宋体"/>
      <w:sz w:val="72"/>
      <w:szCs w:val="72"/>
      <w:u w:val="none"/>
      <w:shd w:val="clear" w:color="auto" w:fill="auto"/>
      <w:lang w:val="zh-TW" w:eastAsia="zh-TW" w:bidi="zh-TW"/>
    </w:rPr>
  </w:style>
  <w:style w:type="paragraph" w:customStyle="1" w:styleId="2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26">
    <w:name w:val="Header or footer|1"/>
    <w:basedOn w:val="1"/>
    <w:qFormat/>
    <w:uiPriority w:val="0"/>
    <w:pPr>
      <w:widowControl w:val="0"/>
      <w:shd w:val="clear" w:color="auto" w:fill="auto"/>
      <w:jc w:val="center"/>
    </w:pPr>
    <w:rPr>
      <w:rFonts w:ascii="宋体" w:hAnsi="宋体" w:eastAsia="宋体" w:cs="宋体"/>
      <w:sz w:val="17"/>
      <w:szCs w:val="17"/>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201</Pages>
  <Words>93162</Words>
  <Characters>94385</Characters>
  <Lines>0</Lines>
  <Paragraphs>0</Paragraphs>
  <TotalTime>13</TotalTime>
  <ScaleCrop>false</ScaleCrop>
  <LinksUpToDate>false</LinksUpToDate>
  <CharactersWithSpaces>97167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2022-06-30T07:56:00Z</dcterms:created>
  <dc:creator>Wendy</dc:creator>
  <cp:lastModifiedBy>雪落晨曦</cp:lastModifiedBy>
  <dcterms:modified xsi:type="dcterms:W3CDTF">2022-08-09T05:20:08Z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13725ECCD65E40AD985CAE5DC2C59BC4</vt:lpwstr>
  </property>
</Properties>
</file>